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FF" w:rsidRPr="004E10FF" w:rsidRDefault="004E10FF" w:rsidP="004E10FF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bdr w:val="single" w:sz="4" w:space="0" w:color="auto"/>
          <w:lang w:eastAsia="de-DE"/>
        </w:rPr>
      </w:pPr>
      <w:r w:rsidRPr="004E10FF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bdr w:val="single" w:sz="4" w:space="0" w:color="auto"/>
          <w:lang w:eastAsia="de-DE"/>
        </w:rPr>
        <w:t>Naturwissenschaften</w:t>
      </w:r>
    </w:p>
    <w:p w:rsidR="004E10FF" w:rsidRDefault="004E10FF" w:rsidP="004E10FF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</w:pPr>
    </w:p>
    <w:p w:rsidR="004E10FF" w:rsidRPr="004E10FF" w:rsidRDefault="004E10FF" w:rsidP="004E1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zeichnen sich durch eine besondere Art und Weise aus, die Welt zu betrachten und zu verstehen.</w:t>
      </w:r>
    </w:p>
    <w:p w:rsidR="004E10FF" w:rsidRPr="004E10FF" w:rsidRDefault="004E10FF" w:rsidP="004E10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„Es ist wichtig, theorie- und handlungsorientierte Angebote in Lern- und Erfahrungssituationen zu integrieren und das </w:t>
      </w:r>
      <w:r w:rsidRPr="004E10FF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de-DE"/>
        </w:rPr>
        <w:t>Experiment</w:t>
      </w:r>
      <w:r w:rsidRPr="004E10F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 als </w:t>
      </w:r>
      <w:r w:rsidRPr="004E10FF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de-DE"/>
        </w:rPr>
        <w:t xml:space="preserve">Frage an die Natur </w:t>
      </w:r>
      <w:r w:rsidRPr="004E10F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ins Zentrum des Erkenntnisprozesses zu stellen“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E10FF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de-DE"/>
        </w:rPr>
        <w:t>(TBP 2015 S. 129)</w:t>
      </w:r>
    </w:p>
    <w:p w:rsidR="004E10FF" w:rsidRPr="004E10FF" w:rsidRDefault="004E10FF" w:rsidP="004E10FF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Ko- Konstruktion als pädagogischer Ansatz, abgeleitet aus dem Konstruktivismus, d.h.</w:t>
      </w:r>
    </w:p>
    <w:p w:rsidR="00361938" w:rsidRPr="004E10FF" w:rsidRDefault="004E10FF" w:rsidP="004E10FF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Kind ist aktiver Konstrukteur seiner Bildung, wesentlich ist dabei die soziale Interaktion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E10FF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de-DE"/>
        </w:rPr>
        <w:t>(„</w:t>
      </w:r>
      <w:proofErr w:type="spellStart"/>
      <w:r w:rsidRPr="004E10FF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de-DE"/>
        </w:rPr>
        <w:t>didakta</w:t>
      </w:r>
      <w:proofErr w:type="spellEnd"/>
      <w:r w:rsidRPr="004E10FF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de-DE"/>
        </w:rPr>
        <w:t xml:space="preserve"> Kinderzeit“ 3/2009)</w:t>
      </w:r>
    </w:p>
    <w:p w:rsidR="004E10FF" w:rsidRDefault="004E10FF" w:rsidP="004E10FF">
      <w:pPr>
        <w:spacing w:after="0" w:line="240" w:lineRule="auto"/>
        <w:ind w:left="1166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</w:pPr>
    </w:p>
    <w:p w:rsidR="004E10FF" w:rsidRPr="004E10FF" w:rsidRDefault="004E10FF" w:rsidP="004E10FF">
      <w:pPr>
        <w:spacing w:after="0" w:line="240" w:lineRule="auto"/>
        <w:ind w:left="1166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4E10FF" w:rsidRPr="004E10FF" w:rsidRDefault="004E10FF" w:rsidP="004E10FF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4E10FF">
        <w:rPr>
          <w:rFonts w:ascii="Arial" w:eastAsiaTheme="minorEastAsia" w:hAnsi="Arial" w:cs="Arial"/>
          <w:b/>
          <w:bCs/>
          <w:color w:val="000000" w:themeColor="text1"/>
          <w:kern w:val="24"/>
        </w:rPr>
        <w:t>Welche Konsequenzen hat das für die Planung des Sachunterrichts?</w:t>
      </w:r>
    </w:p>
    <w:p w:rsidR="004E10FF" w:rsidRPr="004E10FF" w:rsidRDefault="004E10FF" w:rsidP="004E10FF">
      <w:pPr>
        <w:pStyle w:val="Listenabsatz"/>
        <w:numPr>
          <w:ilvl w:val="0"/>
          <w:numId w:val="10"/>
        </w:numPr>
        <w:ind w:left="709" w:hanging="349"/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>aufmerksam machen auf Phänomene aus der Lebenswelt der Kinder</w:t>
      </w:r>
    </w:p>
    <w:p w:rsidR="004E10FF" w:rsidRPr="004E10FF" w:rsidRDefault="004E10FF" w:rsidP="004E10FF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>Neugier wecken, zum Forschen anregen</w:t>
      </w:r>
    </w:p>
    <w:p w:rsidR="004E10FF" w:rsidRPr="004E10FF" w:rsidRDefault="004E10FF" w:rsidP="004E10FF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>selbstständiges Denken und Entdecken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4E10FF">
        <w:rPr>
          <w:rFonts w:ascii="Arial" w:eastAsiaTheme="minorEastAsia" w:hAnsi="Arial" w:cs="Arial"/>
          <w:color w:val="000000" w:themeColor="text1"/>
          <w:kern w:val="24"/>
        </w:rPr>
        <w:t xml:space="preserve">fördern </w:t>
      </w:r>
      <w:r w:rsidRPr="004E10FF">
        <w:rPr>
          <w:rFonts w:eastAsiaTheme="minorEastAsia"/>
        </w:rPr>
        <w:sym w:font="Wingdings" w:char="F0E0"/>
      </w:r>
      <w:r w:rsidRPr="004E10FF">
        <w:rPr>
          <w:rFonts w:ascii="Arial" w:eastAsiaTheme="minorEastAsia" w:hAnsi="Arial" w:cs="Arial"/>
          <w:color w:val="000000" w:themeColor="text1"/>
          <w:kern w:val="24"/>
        </w:rPr>
        <w:t xml:space="preserve"> Kinder nehmen eine aktive</w:t>
      </w:r>
      <w:r>
        <w:rPr>
          <w:rFonts w:ascii="Arial" w:hAnsi="Arial" w:cs="Arial"/>
        </w:rPr>
        <w:t xml:space="preserve">   </w:t>
      </w:r>
      <w:r w:rsidRPr="004E10FF">
        <w:rPr>
          <w:rFonts w:ascii="Arial" w:eastAsiaTheme="minorEastAsia" w:hAnsi="Arial" w:cs="Arial"/>
          <w:color w:val="000000" w:themeColor="text1"/>
          <w:kern w:val="24"/>
        </w:rPr>
        <w:t xml:space="preserve">Rolle ein </w:t>
      </w:r>
    </w:p>
    <w:p w:rsidR="004E10FF" w:rsidRPr="004E10FF" w:rsidRDefault="004E10FF" w:rsidP="004E10FF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>Präkonzepte berücksichtigen</w:t>
      </w:r>
    </w:p>
    <w:p w:rsidR="004E10FF" w:rsidRPr="004E10FF" w:rsidRDefault="004E10FF" w:rsidP="004E10FF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>gemeinsame Denkprozesse im Gespräch fördern, Diskussionen zulassen</w:t>
      </w:r>
    </w:p>
    <w:p w:rsidR="004E10FF" w:rsidRPr="004E10FF" w:rsidRDefault="004E10FF" w:rsidP="004E10FF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 xml:space="preserve">ein angemessenes Maß der Mitbestimmung der Lernenden bei </w:t>
      </w:r>
    </w:p>
    <w:p w:rsidR="004E10FF" w:rsidRPr="004E10FF" w:rsidRDefault="004E10FF" w:rsidP="004E10FF">
      <w:pPr>
        <w:pStyle w:val="Standard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>Lerninhalten, Lernmethoden und Lernzielen ermöglichen</w:t>
      </w:r>
    </w:p>
    <w:p w:rsidR="004E10FF" w:rsidRPr="004E10FF" w:rsidRDefault="004E10FF" w:rsidP="004E10FF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 xml:space="preserve">unkomplizierte Experimente, die eindeutige Schlussfolgerungen </w:t>
      </w:r>
    </w:p>
    <w:p w:rsidR="004E10FF" w:rsidRPr="004E10FF" w:rsidRDefault="004E10FF" w:rsidP="004E10FF">
      <w:pPr>
        <w:pStyle w:val="Standard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>zulassen, auswählen</w:t>
      </w:r>
    </w:p>
    <w:p w:rsidR="004E10FF" w:rsidRPr="004E10FF" w:rsidRDefault="004E10FF" w:rsidP="004E10FF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>Reflexionsprozesse fördern und damit den Schülern die Möglichkeit</w:t>
      </w:r>
    </w:p>
    <w:p w:rsidR="004E10FF" w:rsidRPr="004E10FF" w:rsidRDefault="004E10FF" w:rsidP="004E10FF">
      <w:pPr>
        <w:pStyle w:val="Standard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>bieten, Zusammenhänge neu zu erkennen und den Erfolg des Lernens</w:t>
      </w:r>
    </w:p>
    <w:p w:rsidR="004E10FF" w:rsidRPr="004E10FF" w:rsidRDefault="004E10FF" w:rsidP="004E10FF">
      <w:pPr>
        <w:pStyle w:val="Standard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>wahrzunehmen</w:t>
      </w:r>
    </w:p>
    <w:p w:rsidR="004E10FF" w:rsidRDefault="004E10FF" w:rsidP="004E10FF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4E10FF" w:rsidRDefault="004E10FF" w:rsidP="004E10FF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4E10FF" w:rsidRPr="004E10FF" w:rsidRDefault="004E10FF" w:rsidP="004E10FF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4E10FF">
        <w:rPr>
          <w:rFonts w:ascii="Arial" w:eastAsiaTheme="minorEastAsia" w:hAnsi="Arial" w:cs="Arial"/>
          <w:b/>
          <w:bCs/>
          <w:color w:val="000000" w:themeColor="text1"/>
          <w:kern w:val="24"/>
        </w:rPr>
        <w:t>Die Rolle des Lehrers</w:t>
      </w:r>
    </w:p>
    <w:p w:rsidR="004E10FF" w:rsidRPr="004E10FF" w:rsidRDefault="004E10FF" w:rsidP="004E10FF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>„Moderator“</w:t>
      </w:r>
    </w:p>
    <w:p w:rsidR="004E10FF" w:rsidRPr="004E10FF" w:rsidRDefault="004E10FF" w:rsidP="004E10FF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>gibt keine fertigen Lösungswege vor,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4E10FF">
        <w:rPr>
          <w:rFonts w:ascii="Arial" w:eastAsiaTheme="minorEastAsia" w:hAnsi="Arial" w:cs="Arial"/>
          <w:color w:val="000000" w:themeColor="text1"/>
          <w:kern w:val="24"/>
        </w:rPr>
        <w:t xml:space="preserve">sondern hilft den Kindern, die eigenen </w:t>
      </w:r>
    </w:p>
    <w:p w:rsidR="004E10FF" w:rsidRDefault="004E10FF" w:rsidP="004E10FF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 xml:space="preserve">  </w:t>
      </w:r>
      <w:r>
        <w:rPr>
          <w:rFonts w:ascii="Arial" w:eastAsiaTheme="minorEastAsia" w:hAnsi="Arial" w:cs="Arial"/>
          <w:color w:val="000000" w:themeColor="text1"/>
          <w:kern w:val="24"/>
        </w:rPr>
        <w:tab/>
      </w:r>
      <w:r w:rsidRPr="004E10FF">
        <w:rPr>
          <w:rFonts w:ascii="Arial" w:eastAsiaTheme="minorEastAsia" w:hAnsi="Arial" w:cs="Arial"/>
          <w:color w:val="000000" w:themeColor="text1"/>
          <w:kern w:val="24"/>
        </w:rPr>
        <w:t xml:space="preserve">Fähigkeiten zu aktivieren </w:t>
      </w:r>
      <w:r w:rsidRPr="004E10FF">
        <w:rPr>
          <w:rFonts w:ascii="Arial" w:eastAsiaTheme="minorEastAsia" w:hAnsi="Arial" w:cs="Arial"/>
          <w:b/>
          <w:bCs/>
          <w:color w:val="000000" w:themeColor="text1"/>
          <w:kern w:val="24"/>
        </w:rPr>
        <w:t>:</w:t>
      </w:r>
    </w:p>
    <w:p w:rsidR="004E10FF" w:rsidRPr="004E10FF" w:rsidRDefault="004E10FF" w:rsidP="004E10FF">
      <w:pPr>
        <w:pStyle w:val="Standard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4E10FF" w:rsidRPr="004E10FF" w:rsidRDefault="004E10FF" w:rsidP="004E10F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 xml:space="preserve">Erarbeitung von Teilfragen </w:t>
      </w:r>
    </w:p>
    <w:p w:rsidR="004E10FF" w:rsidRPr="004E10FF" w:rsidRDefault="004E10FF" w:rsidP="004E10F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>Einforderung und Herausstellung von Vermutungen</w:t>
      </w:r>
    </w:p>
    <w:p w:rsidR="004E10FF" w:rsidRPr="004E10FF" w:rsidRDefault="004E10FF" w:rsidP="004E10F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>Aufforderung zu Begründungen</w:t>
      </w:r>
    </w:p>
    <w:p w:rsidR="004E10FF" w:rsidRPr="004E10FF" w:rsidRDefault="004E10FF" w:rsidP="004E10F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>Gemeinsames Entwickeln von Experimenten</w:t>
      </w:r>
    </w:p>
    <w:p w:rsidR="004E10FF" w:rsidRPr="004E10FF" w:rsidRDefault="004E10FF" w:rsidP="004E10F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>Hinweise auf widersprüchliche Aussagen</w:t>
      </w:r>
    </w:p>
    <w:p w:rsidR="004E10FF" w:rsidRPr="004E10FF" w:rsidRDefault="004E10FF" w:rsidP="004E10F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>Strukturierung von Gesprächen durch Impulse</w:t>
      </w:r>
    </w:p>
    <w:p w:rsidR="004E10FF" w:rsidRPr="004E10FF" w:rsidRDefault="004E10FF" w:rsidP="004E10F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>Gemeinsames Anfertigen von Skizzen zur Darstellung von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4E10FF">
        <w:rPr>
          <w:rFonts w:ascii="Arial" w:eastAsiaTheme="minorEastAsia" w:hAnsi="Arial" w:cs="Arial"/>
          <w:color w:val="000000" w:themeColor="text1"/>
          <w:kern w:val="24"/>
        </w:rPr>
        <w:t>Zusammenhängen und Veränderungen</w:t>
      </w:r>
    </w:p>
    <w:p w:rsidR="004E10FF" w:rsidRPr="004E10FF" w:rsidRDefault="004E10FF" w:rsidP="004E10FF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4E10FF">
        <w:rPr>
          <w:rFonts w:ascii="Arial" w:eastAsiaTheme="minorEastAsia" w:hAnsi="Arial" w:cs="Arial"/>
          <w:color w:val="000000" w:themeColor="text1"/>
          <w:kern w:val="24"/>
        </w:rPr>
        <w:t>Anregen zum Formulieren von Vermutungen, Beobachtungen und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4E10FF">
        <w:rPr>
          <w:rFonts w:ascii="Arial" w:eastAsiaTheme="minorEastAsia" w:hAnsi="Arial" w:cs="Arial"/>
          <w:color w:val="000000" w:themeColor="text1"/>
          <w:kern w:val="24"/>
        </w:rPr>
        <w:t xml:space="preserve">Schlussfolgerungen bzw. Erklärungen </w:t>
      </w:r>
    </w:p>
    <w:p w:rsidR="004E10FF" w:rsidRPr="004E10FF" w:rsidRDefault="004E10FF" w:rsidP="004E10FF">
      <w:pPr>
        <w:rPr>
          <w:rFonts w:ascii="Arial" w:hAnsi="Arial" w:cs="Arial"/>
          <w:sz w:val="24"/>
          <w:szCs w:val="24"/>
        </w:rPr>
      </w:pPr>
    </w:p>
    <w:sectPr w:rsidR="004E10FF" w:rsidRPr="004E1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C55"/>
    <w:multiLevelType w:val="hybridMultilevel"/>
    <w:tmpl w:val="76C497E2"/>
    <w:lvl w:ilvl="0" w:tplc="45D09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E1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2B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CD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83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AC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A0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60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0F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457D0D"/>
    <w:multiLevelType w:val="hybridMultilevel"/>
    <w:tmpl w:val="53A448F0"/>
    <w:lvl w:ilvl="0" w:tplc="8AA69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237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DACB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2A7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24B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0D1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42F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6B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C56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D329B"/>
    <w:multiLevelType w:val="hybridMultilevel"/>
    <w:tmpl w:val="5380BB6C"/>
    <w:lvl w:ilvl="0" w:tplc="90A0B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CB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4F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4F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CD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09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E9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2A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CC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6454DB"/>
    <w:multiLevelType w:val="hybridMultilevel"/>
    <w:tmpl w:val="3806BBC8"/>
    <w:lvl w:ilvl="0" w:tplc="68340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65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28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A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69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C8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21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45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02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CB2C5E"/>
    <w:multiLevelType w:val="hybridMultilevel"/>
    <w:tmpl w:val="84C88116"/>
    <w:lvl w:ilvl="0" w:tplc="B2CE2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6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4F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2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08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C0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4C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6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8C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0E48EA"/>
    <w:multiLevelType w:val="hybridMultilevel"/>
    <w:tmpl w:val="18B07C0E"/>
    <w:lvl w:ilvl="0" w:tplc="8826C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ED7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F8DC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4CD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CEB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E79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084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E69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8C8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9668D"/>
    <w:multiLevelType w:val="hybridMultilevel"/>
    <w:tmpl w:val="F6A0E050"/>
    <w:lvl w:ilvl="0" w:tplc="22B49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C6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09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41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E3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28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6C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4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E0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3C50FD"/>
    <w:multiLevelType w:val="hybridMultilevel"/>
    <w:tmpl w:val="802ED264"/>
    <w:lvl w:ilvl="0" w:tplc="294CBB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0DDE"/>
    <w:multiLevelType w:val="hybridMultilevel"/>
    <w:tmpl w:val="5594929E"/>
    <w:lvl w:ilvl="0" w:tplc="294CB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0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CF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CE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AC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A5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A7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28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27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6822882"/>
    <w:multiLevelType w:val="hybridMultilevel"/>
    <w:tmpl w:val="86EA2782"/>
    <w:lvl w:ilvl="0" w:tplc="25A46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EE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0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AD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49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CC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AB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88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6A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FF"/>
    <w:rsid w:val="00361938"/>
    <w:rsid w:val="004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E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E10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E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E10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3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1</cp:revision>
  <dcterms:created xsi:type="dcterms:W3CDTF">2016-08-29T14:22:00Z</dcterms:created>
  <dcterms:modified xsi:type="dcterms:W3CDTF">2016-08-29T14:30:00Z</dcterms:modified>
</cp:coreProperties>
</file>