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rPr>
          <w:rFonts w:ascii="Verdana" w:hAnsi="Verdana"/>
        </w:rPr>
      </w:pPr>
      <w:r>
        <w:rPr>
          <w:rFonts w:ascii="Verdana" w:hAnsi="Verdana"/>
        </w:rPr>
        <w:t xml:space="preserve">Tafellieder bieten für die Sekundarstufe I und II ein breites Spektrum an fächerübergreifenden Einsatzmöglichkeiten. Sie dienen nicht nur als historische Primärquellen, sondern auch als Material für sprachliche Analysen und kreative Projekte. Die Möglichkeiten reichen vom Erstellen und gemeinsamen Singen eigener Tafellieder über die Nutzung im geschichtlichen Kontext bis hin zu projektbezogener Arbeit in Archiven und Bibliotheken. </w:t>
      </w:r>
    </w:p>
    <w:p>
      <w:pPr>
        <w:rPr>
          <w:rFonts w:ascii="Verdana" w:hAnsi="Verdana"/>
        </w:rPr>
      </w:pPr>
    </w:p>
    <w:p>
      <w:pPr>
        <w:rPr>
          <w:rFonts w:ascii="Verdana" w:hAnsi="Verdana"/>
        </w:rPr>
      </w:pPr>
      <w:r>
        <w:rPr>
          <w:rFonts w:ascii="Verdana" w:hAnsi="Verdana"/>
        </w:rPr>
        <w:t>Man kann sich die Arbeit mit Tafelliedern im Unterricht wie eine „archäologische Ausgrabung im Liederbuch“ vorstellen: Unter der Oberfläche bekannter Melodien finden die Schüler verborgene Schichten des Alltagslebens, des Humors und der sozialen Netzwerke ihrer Vorfahren.</w:t>
      </w:r>
    </w:p>
    <w:p>
      <w:pPr>
        <w:rPr>
          <w:rFonts w:ascii="Verdana" w:hAnsi="Verdana"/>
        </w:rPr>
      </w:pPr>
    </w:p>
    <w:p>
      <w:pPr>
        <w:rPr>
          <w:rFonts w:ascii="Verdana" w:hAnsi="Verdana"/>
        </w:rPr>
      </w:pPr>
      <w:r>
        <w:rPr>
          <w:rFonts w:ascii="Verdana" w:hAnsi="Verdana"/>
        </w:rPr>
        <w:t>Die folgende Ideensammlung ist zwar vorwiegend nach Fächern geordnet, jedoch können die meisten Ideen auch fächerübergreifend realisiert werden. Zudem bieten sie sich für projektorientierten Unterricht bzw. Projektwochen an oder sie können als Thema für Projektarbeiten oder Seminarfacharbeiten dienen.</w:t>
      </w:r>
    </w:p>
    <w:p>
      <w:pPr>
        <w:rPr>
          <w:rFonts w:ascii="Verdana" w:hAnsi="Verdana"/>
        </w:rPr>
      </w:pPr>
    </w:p>
    <w:p>
      <w:pPr>
        <w:rPr>
          <w:rFonts w:ascii="Verdana" w:hAnsi="Verdana"/>
          <w:b/>
          <w:i/>
        </w:rPr>
      </w:pPr>
      <w:r>
        <w:rPr>
          <w:rFonts w:ascii="Verdana" w:hAnsi="Verdana"/>
          <w:b/>
          <w:i/>
        </w:rPr>
        <w:t xml:space="preserve">Hinweise: </w:t>
      </w:r>
    </w:p>
    <w:p>
      <w:pPr>
        <w:rPr>
          <w:rFonts w:ascii="Verdana" w:hAnsi="Verdana"/>
          <w:i/>
        </w:rPr>
      </w:pPr>
      <w:r>
        <w:rPr>
          <w:rFonts w:ascii="Verdana" w:hAnsi="Verdana"/>
          <w:i/>
        </w:rPr>
        <w:t xml:space="preserve">Sind in den Aufgaben- und Projektvorschlägen konkrete Tafellieder genannt, so sind diese in der Regel im Lernobjekt unter </w:t>
      </w:r>
      <w:hyperlink r:id="rId7" w:history="1">
        <w:r>
          <w:rPr>
            <w:rStyle w:val="Hyperlink"/>
            <w:rFonts w:ascii="Verdana" w:hAnsi="Verdana"/>
            <w:i/>
          </w:rPr>
          <w:t>https://www.schulportal-thueringen.de/media/detail?tspi=18946</w:t>
        </w:r>
      </w:hyperlink>
      <w:r>
        <w:rPr>
          <w:rFonts w:ascii="Verdana" w:hAnsi="Verdana"/>
          <w:i/>
        </w:rPr>
        <w:t xml:space="preserve"> oder auf den dort verlinkten Seiten genannt und als Digitalisat, ggf. auch als Transkription, zugänglich. </w:t>
      </w:r>
    </w:p>
    <w:p>
      <w:pPr>
        <w:rPr>
          <w:rFonts w:ascii="Verdana" w:hAnsi="Verdana"/>
          <w:i/>
        </w:rPr>
      </w:pPr>
      <w:r>
        <w:rPr>
          <w:rFonts w:ascii="Verdana" w:hAnsi="Verdana"/>
          <w:i/>
        </w:rPr>
        <w:t xml:space="preserve">Alle Vorschläge sind als Anregung zu verstehen und können an regionale Tafellieder und Gegebenheiten </w:t>
      </w:r>
      <w:bookmarkStart w:id="0" w:name="_GoBack"/>
      <w:bookmarkEnd w:id="0"/>
      <w:r>
        <w:rPr>
          <w:rFonts w:ascii="Verdana" w:hAnsi="Verdana"/>
          <w:i/>
        </w:rPr>
        <w:t>angepasst werden.</w:t>
      </w:r>
    </w:p>
    <w:p>
      <w:pPr>
        <w:rPr>
          <w:rFonts w:ascii="Verdana" w:hAnsi="Verdana"/>
        </w:rPr>
      </w:pPr>
    </w:p>
    <w:p>
      <w:pPr>
        <w:rPr>
          <w:rFonts w:ascii="Verdana" w:hAnsi="Verdana"/>
        </w:rPr>
      </w:pPr>
    </w:p>
    <w:p>
      <w:pPr>
        <w:rPr>
          <w:rFonts w:ascii="Verdana" w:hAnsi="Verdana"/>
          <w:b/>
          <w:bCs/>
          <w:sz w:val="24"/>
          <w:szCs w:val="24"/>
        </w:rPr>
      </w:pPr>
      <w:r>
        <w:rPr>
          <w:rFonts w:ascii="Verdana" w:hAnsi="Verdana"/>
          <w:b/>
          <w:bCs/>
          <w:sz w:val="24"/>
          <w:szCs w:val="24"/>
        </w:rPr>
        <w:t>Fach: Geschichte</w:t>
      </w:r>
    </w:p>
    <w:p>
      <w:pPr>
        <w:rPr>
          <w:rFonts w:ascii="Verdana" w:hAnsi="Verdana"/>
        </w:rPr>
      </w:pPr>
    </w:p>
    <w:p>
      <w:pPr>
        <w:rPr>
          <w:rFonts w:ascii="Verdana" w:hAnsi="Verdana"/>
          <w:b/>
          <w:bCs/>
          <w:sz w:val="22"/>
          <w:szCs w:val="22"/>
        </w:rPr>
      </w:pPr>
      <w:r>
        <w:rPr>
          <w:rFonts w:ascii="Verdana" w:hAnsi="Verdana"/>
          <w:sz w:val="22"/>
          <w:szCs w:val="22"/>
        </w:rPr>
        <w:t xml:space="preserve">• </w:t>
      </w:r>
      <w:r>
        <w:rPr>
          <w:rFonts w:ascii="Verdana" w:hAnsi="Verdana"/>
          <w:b/>
          <w:bCs/>
          <w:sz w:val="22"/>
          <w:szCs w:val="22"/>
        </w:rPr>
        <w:t>Thema: Alltagskultur und Vereinswesen im 19. Jahrhundert</w:t>
      </w:r>
    </w:p>
    <w:p>
      <w:pPr>
        <w:rPr>
          <w:rFonts w:ascii="Verdana" w:hAnsi="Verdana"/>
        </w:rPr>
      </w:pPr>
    </w:p>
    <w:p>
      <w:pPr>
        <w:ind w:left="708"/>
        <w:rPr>
          <w:rFonts w:ascii="Verdana" w:hAnsi="Verdana"/>
        </w:rPr>
      </w:pPr>
      <w:r>
        <w:rPr>
          <w:rFonts w:ascii="Verdana" w:hAnsi="Verdana"/>
          <w:b/>
          <w:bCs/>
        </w:rPr>
        <w:t>Aufgabe:</w:t>
      </w:r>
      <w:r>
        <w:rPr>
          <w:rFonts w:ascii="Verdana" w:hAnsi="Verdana"/>
        </w:rPr>
        <w:t xml:space="preserve"> Analysieren Sie ein Tafellied eines spezifischen Vereins (z. B. der Freiwilligen Feuerwehr Grimma oder des „Roland“-Vereins für Wappenkunde). Welche Werte und Ziele werden im Text besungen?</w:t>
      </w:r>
    </w:p>
    <w:p>
      <w:pPr>
        <w:rPr>
          <w:rFonts w:ascii="Verdana" w:hAnsi="Verdana"/>
        </w:rPr>
      </w:pPr>
    </w:p>
    <w:p>
      <w:pPr>
        <w:ind w:left="708"/>
        <w:rPr>
          <w:rFonts w:ascii="Verdana" w:hAnsi="Verdana"/>
        </w:rPr>
      </w:pPr>
      <w:r>
        <w:rPr>
          <w:rFonts w:ascii="Verdana" w:hAnsi="Verdana"/>
          <w:b/>
          <w:bCs/>
        </w:rPr>
        <w:t>Projekt:</w:t>
      </w:r>
      <w:r>
        <w:rPr>
          <w:rFonts w:ascii="Verdana" w:hAnsi="Verdana"/>
        </w:rPr>
        <w:t xml:space="preserve"> „Ein Fest im Jahr 1890“. Die Schüler planen eine fiktive Jubiläumsfeier einer Innung oder eines Vereins. Version 1: Die Feier basiert auf den Informationen aus einem bestehenden Tafellied (Anlass, Personen, soziale Hierarchien). Version 2: Die Feier bezieht sich auf eine regionale Körperschaft, Firma oder Person, wobei Teil des Projektes die Erstellung und das Singen eines neuen Tafelliedes für diesen Anlass ist.</w:t>
      </w:r>
    </w:p>
    <w:p>
      <w:pPr>
        <w:rPr>
          <w:rFonts w:ascii="Verdana" w:hAnsi="Verdana"/>
        </w:rPr>
      </w:pPr>
    </w:p>
    <w:p>
      <w:pPr>
        <w:rPr>
          <w:rFonts w:ascii="Verdana" w:hAnsi="Verdana"/>
          <w:sz w:val="22"/>
          <w:szCs w:val="22"/>
        </w:rPr>
      </w:pPr>
      <w:r>
        <w:rPr>
          <w:rFonts w:ascii="Verdana" w:hAnsi="Verdana"/>
          <w:sz w:val="22"/>
          <w:szCs w:val="22"/>
        </w:rPr>
        <w:t xml:space="preserve">• </w:t>
      </w:r>
      <w:r>
        <w:rPr>
          <w:rFonts w:ascii="Verdana" w:hAnsi="Verdana"/>
          <w:b/>
          <w:bCs/>
          <w:sz w:val="22"/>
          <w:szCs w:val="22"/>
        </w:rPr>
        <w:t>Thema: Politische Partizipation und Zeitgeist</w:t>
      </w:r>
    </w:p>
    <w:p>
      <w:pPr>
        <w:rPr>
          <w:rFonts w:ascii="Verdana" w:hAnsi="Verdana"/>
        </w:rPr>
      </w:pPr>
    </w:p>
    <w:p>
      <w:pPr>
        <w:ind w:left="708"/>
        <w:rPr>
          <w:rFonts w:ascii="Verdana" w:hAnsi="Verdana"/>
        </w:rPr>
      </w:pPr>
      <w:r>
        <w:rPr>
          <w:rFonts w:ascii="Verdana" w:hAnsi="Verdana"/>
          <w:b/>
          <w:bCs/>
        </w:rPr>
        <w:t>Einsatzszenario:</w:t>
      </w:r>
      <w:r>
        <w:rPr>
          <w:rFonts w:ascii="Verdana" w:hAnsi="Verdana"/>
        </w:rPr>
        <w:t xml:space="preserve"> Vergleich von offizieller Geschichtsschreibung mit humoristischen Tafelliedern zu politischen Ereignissen, wie der Pariser Friedenskonferenz 1856. Begleitend bietet sich der Einsatz von Satirezeitschriften aus der jeweiligen Zeit an, die ebenfalls über Archive und Bibliotheken zugänglich sind, teilweise als Digitalisate unter einer freien Lizenz.</w:t>
      </w:r>
    </w:p>
    <w:p>
      <w:pPr>
        <w:rPr>
          <w:rFonts w:ascii="Verdana" w:hAnsi="Verdana"/>
        </w:rPr>
      </w:pPr>
    </w:p>
    <w:p>
      <w:pPr>
        <w:rPr>
          <w:rFonts w:ascii="Verdana" w:hAnsi="Verdana"/>
          <w:sz w:val="22"/>
          <w:szCs w:val="22"/>
        </w:rPr>
      </w:pPr>
      <w:r>
        <w:rPr>
          <w:rFonts w:ascii="Verdana" w:hAnsi="Verdana"/>
          <w:sz w:val="22"/>
          <w:szCs w:val="22"/>
        </w:rPr>
        <w:t xml:space="preserve">• </w:t>
      </w:r>
      <w:r>
        <w:rPr>
          <w:rFonts w:ascii="Verdana" w:hAnsi="Verdana"/>
          <w:b/>
          <w:bCs/>
          <w:sz w:val="22"/>
          <w:szCs w:val="22"/>
        </w:rPr>
        <w:t>Thema: Industriegeschichte und Arbeitswelt</w:t>
      </w:r>
    </w:p>
    <w:p>
      <w:pPr>
        <w:rPr>
          <w:rFonts w:ascii="Verdana" w:hAnsi="Verdana"/>
        </w:rPr>
      </w:pPr>
    </w:p>
    <w:p>
      <w:pPr>
        <w:ind w:left="708"/>
        <w:rPr>
          <w:rFonts w:ascii="Verdana" w:hAnsi="Verdana"/>
        </w:rPr>
      </w:pPr>
      <w:r>
        <w:rPr>
          <w:rFonts w:ascii="Verdana" w:hAnsi="Verdana"/>
          <w:b/>
          <w:bCs/>
        </w:rPr>
        <w:t>Aufgabe:</w:t>
      </w:r>
      <w:r>
        <w:rPr>
          <w:rFonts w:ascii="Verdana" w:hAnsi="Verdana"/>
        </w:rPr>
        <w:t xml:space="preserve"> Untersuchung von Firmenjubiläen (z. B. Lackfabrik Hermann Frenkel oder Verlag B. G. Teubner) als Quelle für die regionale Wirtschaftsgeschichte.</w:t>
      </w:r>
    </w:p>
    <w:p>
      <w:pPr>
        <w:rPr>
          <w:rFonts w:ascii="Verdana" w:hAnsi="Verdana"/>
        </w:rPr>
      </w:pPr>
    </w:p>
    <w:p>
      <w:pPr>
        <w:rPr>
          <w:rFonts w:ascii="Verdana" w:hAnsi="Verdana"/>
        </w:rPr>
      </w:pPr>
    </w:p>
    <w:p>
      <w:pPr>
        <w:rPr>
          <w:rFonts w:ascii="Verdana" w:hAnsi="Verdana"/>
        </w:rPr>
      </w:pPr>
    </w:p>
    <w:p>
      <w:pPr>
        <w:rPr>
          <w:rFonts w:ascii="Verdana" w:hAnsi="Verdana"/>
          <w:b/>
          <w:bCs/>
          <w:sz w:val="24"/>
          <w:szCs w:val="24"/>
        </w:rPr>
      </w:pPr>
      <w:r>
        <w:rPr>
          <w:rFonts w:ascii="Verdana" w:hAnsi="Verdana"/>
          <w:b/>
          <w:bCs/>
          <w:sz w:val="24"/>
          <w:szCs w:val="24"/>
        </w:rPr>
        <w:t>Fach: Deutsch</w:t>
      </w:r>
    </w:p>
    <w:p>
      <w:pPr>
        <w:rPr>
          <w:rFonts w:ascii="Verdana" w:hAnsi="Verdana"/>
        </w:rPr>
      </w:pPr>
    </w:p>
    <w:p>
      <w:pPr>
        <w:rPr>
          <w:rFonts w:ascii="Verdana" w:hAnsi="Verdana"/>
          <w:sz w:val="22"/>
          <w:szCs w:val="22"/>
        </w:rPr>
      </w:pPr>
      <w:r>
        <w:rPr>
          <w:rFonts w:ascii="Verdana" w:hAnsi="Verdana"/>
          <w:sz w:val="22"/>
          <w:szCs w:val="22"/>
        </w:rPr>
        <w:t xml:space="preserve">• </w:t>
      </w:r>
      <w:r>
        <w:rPr>
          <w:rFonts w:ascii="Verdana" w:hAnsi="Verdana"/>
          <w:b/>
          <w:bCs/>
          <w:sz w:val="22"/>
          <w:szCs w:val="22"/>
        </w:rPr>
        <w:t>Thema: Wortbildung und Sprachwandel</w:t>
      </w:r>
    </w:p>
    <w:p>
      <w:pPr>
        <w:rPr>
          <w:rFonts w:ascii="Verdana" w:hAnsi="Verdana"/>
        </w:rPr>
      </w:pPr>
    </w:p>
    <w:p>
      <w:pPr>
        <w:ind w:left="708"/>
        <w:rPr>
          <w:rFonts w:ascii="Verdana" w:hAnsi="Verdana"/>
        </w:rPr>
      </w:pPr>
      <w:r>
        <w:rPr>
          <w:rFonts w:ascii="Verdana" w:hAnsi="Verdana"/>
          <w:b/>
          <w:bCs/>
        </w:rPr>
        <w:t>Aufgabe:</w:t>
      </w:r>
      <w:r>
        <w:rPr>
          <w:rFonts w:ascii="Verdana" w:hAnsi="Verdana"/>
        </w:rPr>
        <w:t xml:space="preserve"> Analyse von komplexen Wortbildungen wie der „</w:t>
      </w:r>
      <w:proofErr w:type="spellStart"/>
      <w:r>
        <w:rPr>
          <w:rFonts w:ascii="Verdana" w:hAnsi="Verdana"/>
        </w:rPr>
        <w:t>Jähnichengemeindevorstandsjubiläumsfackelzugsfestkneipe</w:t>
      </w:r>
      <w:proofErr w:type="spellEnd"/>
      <w:r>
        <w:rPr>
          <w:rFonts w:ascii="Verdana" w:hAnsi="Verdana"/>
        </w:rPr>
        <w:t xml:space="preserve">“. Die Schüler untersuchen die Struktur dieser Komposita. Sie finden ähnliche Wortschöpfungen aus der Gegenwart und untersuchen Anlass und Zweck. </w:t>
      </w:r>
    </w:p>
    <w:p>
      <w:pPr>
        <w:ind w:left="708"/>
        <w:rPr>
          <w:rFonts w:ascii="Verdana" w:hAnsi="Verdana"/>
        </w:rPr>
      </w:pPr>
    </w:p>
    <w:p>
      <w:pPr>
        <w:ind w:left="708"/>
        <w:rPr>
          <w:rFonts w:ascii="Verdana" w:hAnsi="Verdana"/>
          <w:b/>
        </w:rPr>
      </w:pPr>
      <w:r>
        <w:rPr>
          <w:rFonts w:ascii="Verdana" w:hAnsi="Verdana"/>
          <w:b/>
        </w:rPr>
        <w:t xml:space="preserve">Aufgabe: </w:t>
      </w:r>
      <w:r>
        <w:rPr>
          <w:rFonts w:ascii="Verdana" w:hAnsi="Verdana"/>
        </w:rPr>
        <w:t xml:space="preserve">Tragen Sie alle Ihnen unbekannten Worte aus dem Tafellied </w:t>
      </w:r>
      <w:proofErr w:type="gramStart"/>
      <w:r>
        <w:rPr>
          <w:rFonts w:ascii="Verdana" w:hAnsi="Verdana"/>
        </w:rPr>
        <w:t>„….</w:t>
      </w:r>
      <w:proofErr w:type="gramEnd"/>
      <w:r>
        <w:rPr>
          <w:rFonts w:ascii="Verdana" w:hAnsi="Verdana"/>
        </w:rPr>
        <w:t>“ zusammen. Recherchieren Sie die Bedeutung dieser „alten“, teilweise schon vergessenen Wörter.</w:t>
      </w:r>
    </w:p>
    <w:p>
      <w:pPr>
        <w:rPr>
          <w:rFonts w:ascii="Verdana" w:hAnsi="Verdana"/>
        </w:rPr>
      </w:pPr>
    </w:p>
    <w:p>
      <w:pPr>
        <w:rPr>
          <w:rFonts w:ascii="Verdana" w:hAnsi="Verdana"/>
          <w:sz w:val="22"/>
          <w:szCs w:val="22"/>
        </w:rPr>
      </w:pPr>
      <w:r>
        <w:rPr>
          <w:rFonts w:ascii="Verdana" w:hAnsi="Verdana"/>
          <w:sz w:val="22"/>
          <w:szCs w:val="22"/>
        </w:rPr>
        <w:t xml:space="preserve">• </w:t>
      </w:r>
      <w:r>
        <w:rPr>
          <w:rFonts w:ascii="Verdana" w:hAnsi="Verdana"/>
          <w:b/>
          <w:bCs/>
          <w:sz w:val="22"/>
          <w:szCs w:val="22"/>
        </w:rPr>
        <w:t>Thema: Gelegenheitslyrik vs. Hochliteratur</w:t>
      </w:r>
    </w:p>
    <w:p>
      <w:pPr>
        <w:rPr>
          <w:rFonts w:ascii="Verdana" w:hAnsi="Verdana"/>
        </w:rPr>
      </w:pPr>
    </w:p>
    <w:p>
      <w:pPr>
        <w:ind w:left="708"/>
        <w:rPr>
          <w:rFonts w:ascii="Verdana" w:hAnsi="Verdana"/>
        </w:rPr>
      </w:pPr>
      <w:r>
        <w:rPr>
          <w:rFonts w:ascii="Verdana" w:hAnsi="Verdana"/>
          <w:b/>
          <w:bCs/>
        </w:rPr>
        <w:t>Einsatzszenario:</w:t>
      </w:r>
      <w:r>
        <w:rPr>
          <w:rFonts w:ascii="Verdana" w:hAnsi="Verdana"/>
        </w:rPr>
        <w:t xml:space="preserve"> Gegenüberstellung eines „einfachen“ Tafelliedes mit der Vertonung von Joseph von Eichendorffs „Dank der Damen“ durch Johannes Brahms. </w:t>
      </w:r>
    </w:p>
    <w:p>
      <w:pPr>
        <w:rPr>
          <w:rFonts w:ascii="Verdana" w:hAnsi="Verdana"/>
        </w:rPr>
      </w:pPr>
    </w:p>
    <w:p>
      <w:pPr>
        <w:rPr>
          <w:rFonts w:ascii="Verdana" w:hAnsi="Verdana"/>
          <w:sz w:val="22"/>
          <w:szCs w:val="22"/>
        </w:rPr>
      </w:pPr>
      <w:r>
        <w:rPr>
          <w:rFonts w:ascii="Verdana" w:hAnsi="Verdana"/>
          <w:sz w:val="22"/>
          <w:szCs w:val="22"/>
        </w:rPr>
        <w:t xml:space="preserve">• </w:t>
      </w:r>
      <w:r>
        <w:rPr>
          <w:rFonts w:ascii="Verdana" w:hAnsi="Verdana"/>
          <w:b/>
          <w:bCs/>
          <w:sz w:val="22"/>
          <w:szCs w:val="22"/>
        </w:rPr>
        <w:t>Thema: Kreatives Schreiben</w:t>
      </w:r>
    </w:p>
    <w:p>
      <w:pPr>
        <w:ind w:left="708"/>
        <w:rPr>
          <w:rFonts w:ascii="Verdana" w:hAnsi="Verdana"/>
        </w:rPr>
      </w:pPr>
    </w:p>
    <w:p>
      <w:pPr>
        <w:ind w:left="708"/>
        <w:rPr>
          <w:rFonts w:ascii="Verdana" w:hAnsi="Verdana"/>
        </w:rPr>
      </w:pPr>
      <w:r>
        <w:rPr>
          <w:rFonts w:ascii="Verdana" w:hAnsi="Verdana"/>
          <w:b/>
        </w:rPr>
        <w:t>Projekt:</w:t>
      </w:r>
      <w:r>
        <w:rPr>
          <w:rFonts w:ascii="Verdana" w:hAnsi="Verdana"/>
        </w:rPr>
        <w:t xml:space="preserve"> Verfassen eines eigenen Tafelliedes zu einem aktuellen Schulanlass (z. B. Schulfest, Abschlussball, Lehrerjubiläum) unter Verwendung einer bekannten Melodie als Vorlage. </w:t>
      </w:r>
      <w:r>
        <w:rPr>
          <w:rFonts w:ascii="Verdana" w:hAnsi="Verdana"/>
        </w:rPr>
        <w:br/>
        <w:t>(Sofern Begleitmusik verwendet werden soll, befinden sich im Lernobjekt einige urheberrechtlich nutzbare Vorschläge.)</w:t>
      </w:r>
    </w:p>
    <w:p>
      <w:pPr>
        <w:rPr>
          <w:rFonts w:ascii="Verdana" w:hAnsi="Verdana"/>
          <w:b/>
          <w:bCs/>
        </w:rPr>
      </w:pPr>
    </w:p>
    <w:p>
      <w:pPr>
        <w:rPr>
          <w:rFonts w:ascii="Verdana" w:hAnsi="Verdana"/>
          <w:b/>
          <w:bCs/>
        </w:rPr>
      </w:pPr>
    </w:p>
    <w:p>
      <w:pPr>
        <w:rPr>
          <w:rFonts w:ascii="Verdana" w:hAnsi="Verdana"/>
          <w:b/>
          <w:bCs/>
          <w:sz w:val="24"/>
          <w:szCs w:val="24"/>
        </w:rPr>
      </w:pPr>
      <w:r>
        <w:rPr>
          <w:rFonts w:ascii="Verdana" w:hAnsi="Verdana"/>
          <w:b/>
          <w:bCs/>
          <w:sz w:val="24"/>
          <w:szCs w:val="24"/>
        </w:rPr>
        <w:t>Fach: Musik</w:t>
      </w:r>
    </w:p>
    <w:p>
      <w:pPr>
        <w:rPr>
          <w:rFonts w:ascii="Verdana" w:hAnsi="Verdana"/>
        </w:rPr>
      </w:pPr>
    </w:p>
    <w:p>
      <w:pPr>
        <w:rPr>
          <w:rFonts w:ascii="Verdana" w:hAnsi="Verdana"/>
          <w:sz w:val="22"/>
          <w:szCs w:val="22"/>
        </w:rPr>
      </w:pPr>
      <w:r>
        <w:rPr>
          <w:rFonts w:ascii="Verdana" w:hAnsi="Verdana"/>
          <w:sz w:val="22"/>
          <w:szCs w:val="22"/>
        </w:rPr>
        <w:t xml:space="preserve">• </w:t>
      </w:r>
      <w:r>
        <w:rPr>
          <w:rFonts w:ascii="Verdana" w:hAnsi="Verdana"/>
          <w:b/>
          <w:bCs/>
          <w:sz w:val="22"/>
          <w:szCs w:val="22"/>
        </w:rPr>
        <w:t>Thema: Das Prinzip der Kontrafaktur (Neue Texte auf alte Melodien)</w:t>
      </w:r>
    </w:p>
    <w:p>
      <w:pPr>
        <w:rPr>
          <w:rFonts w:ascii="Verdana" w:hAnsi="Verdana"/>
        </w:rPr>
      </w:pPr>
    </w:p>
    <w:p>
      <w:pPr>
        <w:ind w:left="708"/>
        <w:rPr>
          <w:rFonts w:ascii="Verdana" w:hAnsi="Verdana"/>
        </w:rPr>
      </w:pPr>
      <w:r>
        <w:rPr>
          <w:rFonts w:ascii="Verdana" w:hAnsi="Verdana"/>
          <w:b/>
          <w:bCs/>
        </w:rPr>
        <w:t>Aufgabe:</w:t>
      </w:r>
      <w:r>
        <w:rPr>
          <w:rFonts w:ascii="Verdana" w:hAnsi="Verdana"/>
        </w:rPr>
        <w:t xml:space="preserve"> Identifizieren Sie eine Auswahl von im 19. Jahrhundert populären Melodien (z. B. „O Tannenbaum“ oder „Alle Vögel sind schon da“), die als Basis für Tafellieder dienten.</w:t>
      </w:r>
    </w:p>
    <w:p>
      <w:pPr>
        <w:ind w:left="708"/>
        <w:rPr>
          <w:rFonts w:ascii="Verdana" w:hAnsi="Verdana"/>
          <w:b/>
          <w:bCs/>
        </w:rPr>
      </w:pPr>
    </w:p>
    <w:p>
      <w:pPr>
        <w:ind w:left="708"/>
        <w:rPr>
          <w:rFonts w:ascii="Verdana" w:hAnsi="Verdana"/>
        </w:rPr>
      </w:pPr>
      <w:r>
        <w:rPr>
          <w:rFonts w:ascii="Verdana" w:hAnsi="Verdana"/>
          <w:b/>
          <w:bCs/>
        </w:rPr>
        <w:t>Projekt:</w:t>
      </w:r>
      <w:r>
        <w:rPr>
          <w:rFonts w:ascii="Verdana" w:hAnsi="Verdana"/>
        </w:rPr>
        <w:t xml:space="preserve"> „Klangrekonstruktion“. Einstudieren und Vorsingen eines historischen Tafelliedes, um die „gesungene Gemeinschaftserfahrung“ praktisch nachzuvollziehen. Diese Projektidee bietet sich vor allem für Projektwochen an, die einen historischen und regionalen Bezug haben (z. B. Persönlichkeiten des städtischen Lebens).</w:t>
      </w:r>
    </w:p>
    <w:p>
      <w:pPr>
        <w:rPr>
          <w:rFonts w:ascii="Verdana" w:hAnsi="Verdana"/>
        </w:rPr>
      </w:pPr>
    </w:p>
    <w:p>
      <w:pPr>
        <w:rPr>
          <w:rFonts w:ascii="Verdana" w:hAnsi="Verdana"/>
          <w:b/>
          <w:bCs/>
          <w:sz w:val="22"/>
          <w:szCs w:val="22"/>
        </w:rPr>
      </w:pPr>
      <w:r>
        <w:rPr>
          <w:rFonts w:ascii="Verdana" w:hAnsi="Verdana"/>
          <w:sz w:val="22"/>
          <w:szCs w:val="22"/>
        </w:rPr>
        <w:t xml:space="preserve">• </w:t>
      </w:r>
      <w:r>
        <w:rPr>
          <w:rFonts w:ascii="Verdana" w:hAnsi="Verdana"/>
          <w:b/>
          <w:bCs/>
          <w:sz w:val="22"/>
          <w:szCs w:val="22"/>
        </w:rPr>
        <w:t>Thema: Musikverlage und Verbreitung</w:t>
      </w:r>
    </w:p>
    <w:p>
      <w:pPr>
        <w:rPr>
          <w:rFonts w:ascii="Verdana" w:hAnsi="Verdana"/>
        </w:rPr>
      </w:pPr>
    </w:p>
    <w:p>
      <w:pPr>
        <w:ind w:left="708"/>
        <w:rPr>
          <w:rFonts w:ascii="Verdana" w:hAnsi="Verdana"/>
        </w:rPr>
      </w:pPr>
      <w:r>
        <w:rPr>
          <w:rFonts w:ascii="Verdana" w:hAnsi="Verdana"/>
          <w:b/>
          <w:bCs/>
        </w:rPr>
        <w:t>Einsatzszenario:</w:t>
      </w:r>
      <w:r>
        <w:rPr>
          <w:rFonts w:ascii="Verdana" w:hAnsi="Verdana"/>
        </w:rPr>
        <w:t xml:space="preserve"> Untersuchung der Rolle von Musikverlagen in Leipzig (z. B. Breitkopf &amp; Härtel) bei der Verbreitung von Liedgut.</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b/>
          <w:bCs/>
        </w:rPr>
      </w:pPr>
    </w:p>
    <w:p>
      <w:pPr>
        <w:rPr>
          <w:rFonts w:ascii="Verdana" w:hAnsi="Verdana"/>
          <w:b/>
          <w:bCs/>
          <w:sz w:val="24"/>
          <w:szCs w:val="24"/>
        </w:rPr>
      </w:pPr>
      <w:r>
        <w:rPr>
          <w:rFonts w:ascii="Verdana" w:hAnsi="Verdana"/>
          <w:b/>
          <w:bCs/>
          <w:sz w:val="24"/>
          <w:szCs w:val="24"/>
        </w:rPr>
        <w:t>Fach: Medienbildung und Informatik</w:t>
      </w:r>
    </w:p>
    <w:p>
      <w:pPr>
        <w:rPr>
          <w:rFonts w:ascii="Verdana" w:hAnsi="Verdana"/>
        </w:rPr>
      </w:pPr>
    </w:p>
    <w:p>
      <w:pPr>
        <w:rPr>
          <w:rFonts w:ascii="Verdana" w:hAnsi="Verdana"/>
          <w:sz w:val="22"/>
          <w:szCs w:val="22"/>
        </w:rPr>
      </w:pPr>
      <w:r>
        <w:rPr>
          <w:rFonts w:ascii="Verdana" w:hAnsi="Verdana"/>
          <w:sz w:val="22"/>
          <w:szCs w:val="22"/>
        </w:rPr>
        <w:t xml:space="preserve">• </w:t>
      </w:r>
      <w:r>
        <w:rPr>
          <w:rFonts w:ascii="Verdana" w:hAnsi="Verdana"/>
          <w:b/>
          <w:bCs/>
          <w:sz w:val="22"/>
          <w:szCs w:val="22"/>
        </w:rPr>
        <w:t>Thema: Digitale Archive und Citizen Science (Bürgerwissenschaft)</w:t>
      </w:r>
    </w:p>
    <w:p>
      <w:pPr>
        <w:rPr>
          <w:rFonts w:ascii="Verdana" w:hAnsi="Verdana"/>
        </w:rPr>
      </w:pPr>
    </w:p>
    <w:p>
      <w:pPr>
        <w:ind w:left="708"/>
        <w:rPr>
          <w:rFonts w:ascii="Verdana" w:hAnsi="Verdana"/>
        </w:rPr>
      </w:pPr>
      <w:r>
        <w:rPr>
          <w:rFonts w:ascii="Verdana" w:hAnsi="Verdana"/>
          <w:b/>
          <w:bCs/>
        </w:rPr>
        <w:t>Projekt:</w:t>
      </w:r>
      <w:r>
        <w:rPr>
          <w:rFonts w:ascii="Verdana" w:hAnsi="Verdana"/>
        </w:rPr>
        <w:t xml:space="preserve"> Arbeit mit den </w:t>
      </w:r>
      <w:hyperlink r:id="rId8" w:history="1">
        <w:r>
          <w:rPr>
            <w:rStyle w:val="Hyperlink"/>
            <w:rFonts w:ascii="Verdana" w:hAnsi="Verdana"/>
          </w:rPr>
          <w:t>digitalen Sammlungen der SLUB Dresden</w:t>
        </w:r>
      </w:hyperlink>
      <w:r>
        <w:rPr>
          <w:rFonts w:ascii="Verdana" w:hAnsi="Verdana"/>
        </w:rPr>
        <w:t xml:space="preserve">, </w:t>
      </w:r>
      <w:hyperlink r:id="rId9" w:history="1">
        <w:r>
          <w:rPr>
            <w:rStyle w:val="Hyperlink"/>
            <w:rFonts w:ascii="Verdana" w:hAnsi="Verdana"/>
          </w:rPr>
          <w:t>Wikimedia Commons</w:t>
        </w:r>
      </w:hyperlink>
      <w:r>
        <w:rPr>
          <w:rFonts w:ascii="Verdana" w:hAnsi="Verdana"/>
        </w:rPr>
        <w:t xml:space="preserve">, </w:t>
      </w:r>
      <w:hyperlink r:id="rId10" w:tgtFrame="_blank" w:history="1">
        <w:proofErr w:type="spellStart"/>
        <w:r>
          <w:rPr>
            <w:rStyle w:val="Hyperlink"/>
            <w:rFonts w:ascii="Verdana" w:hAnsi="Verdana"/>
          </w:rPr>
          <w:t>Kulthura</w:t>
        </w:r>
        <w:proofErr w:type="spellEnd"/>
        <w:r>
          <w:rPr>
            <w:rStyle w:val="Hyperlink"/>
            <w:rFonts w:ascii="Verdana" w:hAnsi="Verdana"/>
          </w:rPr>
          <w:t>, dem digitalen Kultur- und Wissensportal Thüringens</w:t>
        </w:r>
      </w:hyperlink>
      <w:r>
        <w:rPr>
          <w:rFonts w:ascii="Verdana" w:hAnsi="Verdana"/>
        </w:rPr>
        <w:t xml:space="preserve">, </w:t>
      </w:r>
      <w:hyperlink r:id="rId11" w:history="1">
        <w:r>
          <w:rPr>
            <w:rStyle w:val="Hyperlink"/>
            <w:rFonts w:ascii="Verdana" w:hAnsi="Verdana"/>
          </w:rPr>
          <w:t>Deutsche Digitale Bibliothek</w:t>
        </w:r>
      </w:hyperlink>
      <w:r>
        <w:rPr>
          <w:rFonts w:ascii="Verdana" w:hAnsi="Verdana"/>
        </w:rPr>
        <w:t xml:space="preserve"> u. a. m. Suche nach Tafelliedern und anderen historischen Quellen im Kontext.</w:t>
      </w:r>
    </w:p>
    <w:p>
      <w:pPr>
        <w:rPr>
          <w:rFonts w:ascii="Verdana" w:hAnsi="Verdana"/>
          <w:b/>
          <w:bCs/>
        </w:rPr>
      </w:pPr>
    </w:p>
    <w:p>
      <w:pPr>
        <w:ind w:left="708"/>
        <w:rPr>
          <w:rFonts w:ascii="Verdana" w:hAnsi="Verdana"/>
        </w:rPr>
      </w:pPr>
      <w:r>
        <w:rPr>
          <w:rFonts w:ascii="Verdana" w:hAnsi="Verdana"/>
          <w:b/>
          <w:bCs/>
        </w:rPr>
        <w:t>Aufgabe:</w:t>
      </w:r>
      <w:r>
        <w:rPr>
          <w:rFonts w:ascii="Verdana" w:hAnsi="Verdana"/>
        </w:rPr>
        <w:t xml:space="preserve"> Transkription eines digitalisierten, handschriftlichen oder schwer lesbaren Tafellied-Drucks auf der Plattform </w:t>
      </w:r>
      <w:hyperlink r:id="rId12" w:history="1">
        <w:r>
          <w:rPr>
            <w:rStyle w:val="Hyperlink"/>
            <w:rFonts w:ascii="Verdana" w:hAnsi="Verdana"/>
          </w:rPr>
          <w:t>Wikisource</w:t>
        </w:r>
      </w:hyperlink>
      <w:r>
        <w:rPr>
          <w:rFonts w:ascii="Verdana" w:hAnsi="Verdana"/>
        </w:rPr>
        <w:t>, um ihn für die Forschung zugänglich zu machen</w:t>
      </w:r>
    </w:p>
    <w:p>
      <w:pPr>
        <w:rPr>
          <w:rFonts w:ascii="Verdana" w:hAnsi="Verdana"/>
        </w:rPr>
      </w:pPr>
    </w:p>
    <w:p>
      <w:pPr>
        <w:rPr>
          <w:rFonts w:ascii="Verdana" w:hAnsi="Verdana"/>
          <w:sz w:val="22"/>
          <w:szCs w:val="22"/>
        </w:rPr>
      </w:pPr>
      <w:r>
        <w:rPr>
          <w:rFonts w:ascii="Verdana" w:hAnsi="Verdana"/>
          <w:sz w:val="22"/>
          <w:szCs w:val="22"/>
        </w:rPr>
        <w:t xml:space="preserve">• </w:t>
      </w:r>
      <w:r>
        <w:rPr>
          <w:rFonts w:ascii="Verdana" w:hAnsi="Verdana"/>
          <w:b/>
          <w:bCs/>
          <w:sz w:val="22"/>
          <w:szCs w:val="22"/>
        </w:rPr>
        <w:t>Thema: Drucktechnik und Akzidenzen</w:t>
      </w:r>
    </w:p>
    <w:p>
      <w:pPr>
        <w:rPr>
          <w:rFonts w:ascii="Verdana" w:hAnsi="Verdana"/>
        </w:rPr>
      </w:pPr>
    </w:p>
    <w:p>
      <w:pPr>
        <w:ind w:left="708"/>
        <w:rPr>
          <w:rFonts w:ascii="Verdana" w:hAnsi="Verdana"/>
        </w:rPr>
      </w:pPr>
      <w:r>
        <w:rPr>
          <w:rFonts w:ascii="Verdana" w:hAnsi="Verdana"/>
          <w:b/>
          <w:bCs/>
        </w:rPr>
        <w:t>Aufgabe:</w:t>
      </w:r>
      <w:r>
        <w:rPr>
          <w:rFonts w:ascii="Verdana" w:hAnsi="Verdana"/>
        </w:rPr>
        <w:t xml:space="preserve"> Recherche zur Geschichte des Buchdrucks in Leipzig und der Bedeutung von Gelegenheitsdrucksachen (Akzidenzdrucken) für die Druckereien.</w:t>
      </w:r>
    </w:p>
    <w:p>
      <w:pPr>
        <w:rPr>
          <w:rFonts w:ascii="Verdana" w:hAnsi="Verdana"/>
        </w:rPr>
      </w:pPr>
    </w:p>
    <w:p>
      <w:pPr>
        <w:rPr>
          <w:rFonts w:ascii="Verdana" w:hAnsi="Verdana"/>
        </w:rPr>
      </w:pPr>
    </w:p>
    <w:p>
      <w:pPr>
        <w:rPr>
          <w:rFonts w:ascii="Verdana" w:hAnsi="Verdana"/>
          <w:b/>
          <w:bCs/>
          <w:sz w:val="24"/>
          <w:szCs w:val="24"/>
        </w:rPr>
      </w:pPr>
      <w:r>
        <w:rPr>
          <w:rFonts w:ascii="Verdana" w:hAnsi="Verdana"/>
          <w:b/>
          <w:bCs/>
          <w:sz w:val="24"/>
          <w:szCs w:val="24"/>
        </w:rPr>
        <w:t>Fächerübergreifend: Regional- und Landeskunde</w:t>
      </w:r>
    </w:p>
    <w:p>
      <w:pPr>
        <w:rPr>
          <w:rFonts w:ascii="Verdana" w:hAnsi="Verdana"/>
        </w:rPr>
      </w:pPr>
    </w:p>
    <w:p>
      <w:pPr>
        <w:rPr>
          <w:rFonts w:ascii="Verdana" w:hAnsi="Verdana"/>
          <w:sz w:val="22"/>
          <w:szCs w:val="22"/>
        </w:rPr>
      </w:pPr>
      <w:r>
        <w:rPr>
          <w:rFonts w:ascii="Verdana" w:hAnsi="Verdana"/>
          <w:sz w:val="22"/>
          <w:szCs w:val="22"/>
        </w:rPr>
        <w:t xml:space="preserve">• </w:t>
      </w:r>
      <w:r>
        <w:rPr>
          <w:rFonts w:ascii="Verdana" w:hAnsi="Verdana"/>
          <w:b/>
          <w:bCs/>
          <w:sz w:val="22"/>
          <w:szCs w:val="22"/>
        </w:rPr>
        <w:t>Thema: Spurensuche vor Ort</w:t>
      </w:r>
    </w:p>
    <w:p>
      <w:pPr>
        <w:rPr>
          <w:rFonts w:ascii="Verdana" w:hAnsi="Verdana"/>
        </w:rPr>
      </w:pPr>
    </w:p>
    <w:p>
      <w:pPr>
        <w:ind w:left="708"/>
        <w:rPr>
          <w:rFonts w:ascii="Verdana" w:hAnsi="Verdana"/>
        </w:rPr>
      </w:pPr>
      <w:r>
        <w:rPr>
          <w:rFonts w:ascii="Verdana" w:hAnsi="Verdana"/>
          <w:b/>
          <w:bCs/>
        </w:rPr>
        <w:t>Projektidee:</w:t>
      </w:r>
      <w:r>
        <w:rPr>
          <w:rFonts w:ascii="Verdana" w:hAnsi="Verdana"/>
        </w:rPr>
        <w:t xml:space="preserve"> Recherche im lokalen Stadt- oder Gemeindearchiv nach Tafelliedern aus der eigenen Region. Hier bietet sich eine Zusammenarbeit mit Heimatmuseen und </w:t>
      </w:r>
      <w:proofErr w:type="spellStart"/>
      <w:r>
        <w:rPr>
          <w:rFonts w:ascii="Verdana" w:hAnsi="Verdana"/>
        </w:rPr>
        <w:t>Heimatgeschichtlern</w:t>
      </w:r>
      <w:proofErr w:type="spellEnd"/>
      <w:r>
        <w:rPr>
          <w:rFonts w:ascii="Verdana" w:hAnsi="Verdana"/>
        </w:rPr>
        <w:t xml:space="preserve"> an. Die Schüler erstellen im Ergebnis eine digitale Karte oder eine Ausstellung über lokale Festtraditionen.</w:t>
      </w:r>
    </w:p>
    <w:p>
      <w:pPr>
        <w:rPr>
          <w:rFonts w:ascii="Verdana" w:hAnsi="Verdana"/>
        </w:rPr>
      </w:pPr>
    </w:p>
    <w:p>
      <w:pPr>
        <w:rPr>
          <w:rFonts w:ascii="Verdana" w:hAnsi="Verdana"/>
          <w:sz w:val="22"/>
          <w:szCs w:val="22"/>
        </w:rPr>
      </w:pPr>
      <w:r>
        <w:rPr>
          <w:rFonts w:ascii="Verdana" w:hAnsi="Verdana"/>
          <w:sz w:val="22"/>
          <w:szCs w:val="22"/>
        </w:rPr>
        <w:t xml:space="preserve">• </w:t>
      </w:r>
      <w:r>
        <w:rPr>
          <w:rFonts w:ascii="Verdana" w:hAnsi="Verdana"/>
          <w:b/>
          <w:bCs/>
          <w:sz w:val="22"/>
          <w:szCs w:val="22"/>
        </w:rPr>
        <w:t>Thema: Max Eberweins Wirken in Rudolstadt &amp; sein Tafellied Ergo bibamus</w:t>
      </w:r>
    </w:p>
    <w:p>
      <w:pPr>
        <w:rPr>
          <w:rFonts w:ascii="Verdana" w:hAnsi="Verdana"/>
        </w:rPr>
      </w:pPr>
    </w:p>
    <w:p>
      <w:pPr>
        <w:ind w:left="708"/>
        <w:rPr>
          <w:rFonts w:ascii="Verdana" w:hAnsi="Verdana"/>
        </w:rPr>
      </w:pPr>
      <w:r>
        <w:rPr>
          <w:rFonts w:ascii="Verdana" w:hAnsi="Verdana"/>
          <w:b/>
          <w:bCs/>
        </w:rPr>
        <w:t>Projektidee:</w:t>
      </w:r>
      <w:r>
        <w:rPr>
          <w:rFonts w:ascii="Verdana" w:hAnsi="Verdana"/>
        </w:rPr>
        <w:t xml:space="preserve"> Das 1810 von Johann Wolfgang von Goethe geschriebene und von Max Eberwein 1813 vertonte Gedicht „Ergo bibamus“ ist eines der bekanntesten Tafellieder und Studentenlieder. In Jena gibt es sogar ein Ergo-bibamus-Denkmal. </w:t>
      </w:r>
      <w:r>
        <w:rPr>
          <w:rFonts w:ascii="Verdana" w:hAnsi="Verdana"/>
        </w:rPr>
        <w:br/>
        <w:t>Ausgehend vom im Lernobjekt vorhandenen Digitalisat „Max Eberweins Wirken in Rudolstadt“ (1931 erschienen im Schwarzburgboten) wird das Leben und Wirken von Max Eberwein recherchiert und mit realen Orten in und um Rudolstadt verbunden, beispielweise mi einer interaktiven Karte. Weiterhin könnte Eberweins bekanntestes Tafellied „Ergo bibamus“ im Zuge einer Projektpräsentation aufgeführt werden.</w:t>
      </w:r>
    </w:p>
    <w:p>
      <w:pPr>
        <w:rPr>
          <w:rFonts w:ascii="Verdana" w:hAnsi="Verdana"/>
        </w:rPr>
      </w:pPr>
    </w:p>
    <w:p>
      <w:pPr>
        <w:rPr>
          <w:rFonts w:ascii="Verdana" w:hAnsi="Verdana"/>
        </w:rPr>
      </w:pPr>
    </w:p>
    <w:sectPr>
      <w:headerReference w:type="default" r:id="rId13"/>
      <w:footerReference w:type="default" r:id="rId14"/>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167" w:type="dxa"/>
      <w:jc w:val="center"/>
      <w:tblLook w:val="01E0" w:firstRow="1" w:lastRow="1" w:firstColumn="1" w:lastColumn="1" w:noHBand="0" w:noVBand="0"/>
    </w:tblPr>
    <w:tblGrid>
      <w:gridCol w:w="2046"/>
      <w:gridCol w:w="6121"/>
    </w:tblGrid>
    <w:tr>
      <w:trPr>
        <w:trHeight w:val="195"/>
        <w:jc w:val="center"/>
      </w:trPr>
      <w:tc>
        <w:tcPr>
          <w:tcW w:w="0" w:type="auto"/>
          <w:vMerge w:val="restart"/>
          <w:vAlign w:val="center"/>
        </w:tcPr>
        <w:p>
          <w:pPr>
            <w:pStyle w:val="Fuzeile"/>
            <w:jc w:val="center"/>
            <w:rPr>
              <w:rFonts w:ascii="Arial" w:hAnsi="Arial" w:cs="Arial"/>
              <w:color w:val="999999"/>
              <w:sz w:val="16"/>
              <w:szCs w:val="16"/>
            </w:rPr>
          </w:pPr>
          <w:r>
            <w:rPr>
              <w:rFonts w:ascii="Arial" w:hAnsi="Arial" w:cs="Arial"/>
              <w:noProof/>
              <w:color w:val="999999"/>
              <w:sz w:val="16"/>
              <w:szCs w:val="16"/>
            </w:rPr>
            <w:drawing>
              <wp:inline distT="0" distB="0" distL="0" distR="0">
                <wp:extent cx="1143000" cy="428625"/>
                <wp:effectExtent l="19050" t="0" r="0" b="0"/>
                <wp:docPr id="43" name="Bild 43" descr="C:\Users\Kröckel\Desktop\Ablage TSP\_AUF S\Tafellieder\CC-BY.jp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Kröckel\Desktop\Ablage TSP\_AUF S\Tafellieder\CC-BY.jpg"/>
                        <pic:cNvPicPr>
                          <a:picLocks noChangeAspect="1" noChangeArrowheads="1"/>
                        </pic:cNvPicPr>
                      </pic:nvPicPr>
                      <pic:blipFill>
                        <a:blip r:embed="rId2"/>
                        <a:srcRect/>
                        <a:stretch>
                          <a:fillRect/>
                        </a:stretch>
                      </pic:blipFill>
                      <pic:spPr bwMode="auto">
                        <a:xfrm>
                          <a:off x="0" y="0"/>
                          <a:ext cx="1143000" cy="428625"/>
                        </a:xfrm>
                        <a:prstGeom prst="rect">
                          <a:avLst/>
                        </a:prstGeom>
                        <a:noFill/>
                        <a:ln w="9525">
                          <a:noFill/>
                          <a:miter lim="800000"/>
                          <a:headEnd/>
                          <a:tailEnd/>
                        </a:ln>
                      </pic:spPr>
                    </pic:pic>
                  </a:graphicData>
                </a:graphic>
              </wp:inline>
            </w:drawing>
          </w:r>
        </w:p>
      </w:tc>
      <w:tc>
        <w:tcPr>
          <w:tcW w:w="6121" w:type="dxa"/>
          <w:vAlign w:val="center"/>
        </w:tcPr>
        <w:p>
          <w:pPr>
            <w:pStyle w:val="Fuzeile"/>
            <w:jc w:val="center"/>
            <w:rPr>
              <w:rFonts w:ascii="Arial" w:hAnsi="Arial" w:cs="Arial"/>
              <w:color w:val="8CA5C3"/>
              <w:sz w:val="16"/>
              <w:szCs w:val="16"/>
            </w:rPr>
          </w:pPr>
          <w:r>
            <w:rPr>
              <w:rStyle w:val="Seitenzahl"/>
              <w:rFonts w:ascii="Arial" w:hAnsi="Arial" w:cs="Arial"/>
              <w:color w:val="8CA5C3"/>
              <w:sz w:val="16"/>
              <w:szCs w:val="16"/>
            </w:rPr>
            <w:t>Autorengruppe Mediothek/Pixiothek / Januar 2026</w:t>
          </w:r>
        </w:p>
      </w:tc>
    </w:tr>
    <w:tr>
      <w:trPr>
        <w:trHeight w:val="195"/>
        <w:jc w:val="center"/>
      </w:trPr>
      <w:tc>
        <w:tcPr>
          <w:tcW w:w="0" w:type="auto"/>
          <w:vMerge/>
        </w:tcPr>
        <w:p>
          <w:pPr>
            <w:pStyle w:val="Fuzeile"/>
            <w:jc w:val="center"/>
            <w:rPr>
              <w:rFonts w:ascii="Arial" w:hAnsi="Arial" w:cs="Arial"/>
              <w:color w:val="999999"/>
              <w:sz w:val="16"/>
              <w:szCs w:val="16"/>
            </w:rPr>
          </w:pPr>
        </w:p>
      </w:tc>
      <w:tc>
        <w:tcPr>
          <w:tcW w:w="6121" w:type="dxa"/>
          <w:vAlign w:val="center"/>
        </w:tcPr>
        <w:p>
          <w:pPr>
            <w:pStyle w:val="Fuzeile"/>
            <w:jc w:val="center"/>
            <w:rPr>
              <w:rFonts w:ascii="Arial" w:hAnsi="Arial" w:cs="Arial"/>
              <w:color w:val="8CA5C3"/>
              <w:sz w:val="16"/>
              <w:szCs w:val="16"/>
            </w:rPr>
          </w:pPr>
          <w:r>
            <w:rPr>
              <w:rFonts w:ascii="Arial" w:hAnsi="Arial" w:cs="Arial"/>
              <w:color w:val="8CA5C3"/>
              <w:sz w:val="16"/>
              <w:szCs w:val="16"/>
            </w:rPr>
            <w:t>Thüringer Institut für Lehrerfortbildung, Lehrplanentwicklung und Medien Bad</w:t>
          </w:r>
          <w:r>
            <w:rPr>
              <w:color w:val="8CA5C3"/>
              <w:sz w:val="16"/>
              <w:szCs w:val="16"/>
            </w:rPr>
            <w:t xml:space="preserve"> </w:t>
          </w:r>
          <w:r>
            <w:rPr>
              <w:rFonts w:ascii="Arial" w:hAnsi="Arial" w:cs="Arial"/>
              <w:color w:val="8CA5C3"/>
              <w:sz w:val="16"/>
              <w:szCs w:val="16"/>
            </w:rPr>
            <w:t xml:space="preserve">Berka </w:t>
          </w:r>
        </w:p>
      </w:tc>
    </w:tr>
    <w:tr>
      <w:trPr>
        <w:trHeight w:val="195"/>
        <w:jc w:val="center"/>
      </w:trPr>
      <w:tc>
        <w:tcPr>
          <w:tcW w:w="0" w:type="auto"/>
          <w:vMerge/>
        </w:tcPr>
        <w:p>
          <w:pPr>
            <w:pStyle w:val="Fuzeile"/>
            <w:rPr>
              <w:rFonts w:ascii="Arial" w:hAnsi="Arial" w:cs="Arial"/>
              <w:color w:val="999999"/>
              <w:sz w:val="16"/>
              <w:szCs w:val="16"/>
            </w:rPr>
          </w:pPr>
        </w:p>
      </w:tc>
      <w:tc>
        <w:tcPr>
          <w:tcW w:w="6121" w:type="dxa"/>
          <w:vAlign w:val="center"/>
        </w:tcPr>
        <w:p>
          <w:pPr>
            <w:pStyle w:val="Fuzeile"/>
            <w:jc w:val="center"/>
            <w:rPr>
              <w:rFonts w:ascii="Arial" w:hAnsi="Arial" w:cs="Arial"/>
              <w:color w:val="8CA5C3"/>
              <w:sz w:val="16"/>
              <w:szCs w:val="16"/>
            </w:rPr>
          </w:pPr>
          <w:r>
            <w:rPr>
              <w:rFonts w:ascii="Arial" w:hAnsi="Arial" w:cs="Arial"/>
              <w:color w:val="8CA5C3"/>
              <w:sz w:val="16"/>
              <w:szCs w:val="16"/>
            </w:rPr>
            <w:t>www.schulportal-thueringen.de</w:t>
          </w:r>
        </w:p>
      </w:tc>
    </w:tr>
  </w:tbl>
  <w:p>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51" w:type="dxa"/>
      <w:tblInd w:w="-72" w:type="dxa"/>
      <w:tblBorders>
        <w:top w:val="single" w:sz="6" w:space="0" w:color="8CA5C3"/>
        <w:left w:val="single" w:sz="6" w:space="0" w:color="8CA5C3"/>
        <w:bottom w:val="single" w:sz="6" w:space="0" w:color="8CA5C3"/>
        <w:right w:val="single" w:sz="6" w:space="0" w:color="8CA5C3"/>
      </w:tblBorders>
      <w:tblLayout w:type="fixed"/>
      <w:tblLook w:val="01E0" w:firstRow="1" w:lastRow="1" w:firstColumn="1" w:lastColumn="1" w:noHBand="0" w:noVBand="0"/>
    </w:tblPr>
    <w:tblGrid>
      <w:gridCol w:w="7977"/>
      <w:gridCol w:w="2036"/>
      <w:gridCol w:w="38"/>
    </w:tblGrid>
    <w:tr>
      <w:trPr>
        <w:gridAfter w:val="1"/>
        <w:wAfter w:w="38" w:type="dxa"/>
        <w:trHeight w:val="1021"/>
      </w:trPr>
      <w:tc>
        <w:tcPr>
          <w:tcW w:w="7977" w:type="dxa"/>
          <w:tcBorders>
            <w:top w:val="nil"/>
            <w:left w:val="nil"/>
            <w:bottom w:val="nil"/>
            <w:right w:val="nil"/>
          </w:tcBorders>
          <w:vAlign w:val="center"/>
        </w:tcPr>
        <w:p>
          <w:pPr>
            <w:pStyle w:val="Kopfzeile"/>
            <w:ind w:left="176"/>
            <w:rPr>
              <w:rFonts w:ascii="Arial" w:hAnsi="Arial" w:cs="Arial"/>
              <w:b/>
              <w:bCs/>
              <w:color w:val="8CA5C3"/>
              <w:sz w:val="28"/>
              <w:szCs w:val="28"/>
            </w:rPr>
          </w:pPr>
          <w:r>
            <w:rPr>
              <w:rFonts w:ascii="Arial" w:hAnsi="Arial" w:cs="Arial"/>
              <w:b/>
              <w:bCs/>
              <w:color w:val="8CA5C3"/>
              <w:sz w:val="28"/>
              <w:szCs w:val="28"/>
            </w:rPr>
            <w:t>Tafellieder</w:t>
          </w:r>
        </w:p>
      </w:tc>
      <w:tc>
        <w:tcPr>
          <w:tcW w:w="2036" w:type="dxa"/>
          <w:tcBorders>
            <w:top w:val="nil"/>
            <w:left w:val="nil"/>
            <w:bottom w:val="nil"/>
            <w:right w:val="nil"/>
          </w:tcBorders>
          <w:vAlign w:val="center"/>
        </w:tcPr>
        <w:p>
          <w:pPr>
            <w:pStyle w:val="Kopfzeile"/>
            <w:jc w:val="center"/>
            <w:rPr>
              <w:rFonts w:ascii="Verdana" w:hAnsi="Verdana" w:cs="Verdana"/>
              <w:b/>
              <w:bCs/>
              <w:sz w:val="16"/>
              <w:szCs w:val="16"/>
            </w:rPr>
          </w:pPr>
        </w:p>
      </w:tc>
    </w:tr>
    <w:tr>
      <w:trPr>
        <w:trHeight w:val="397"/>
      </w:trPr>
      <w:tc>
        <w:tcPr>
          <w:tcW w:w="10051" w:type="dxa"/>
          <w:gridSpan w:val="3"/>
          <w:tcBorders>
            <w:top w:val="nil"/>
          </w:tcBorders>
          <w:shd w:val="clear" w:color="auto" w:fill="8CA5C3"/>
          <w:vAlign w:val="center"/>
        </w:tcPr>
        <w:p>
          <w:pPr>
            <w:pStyle w:val="Kopfzeile"/>
            <w:ind w:left="176"/>
            <w:rPr>
              <w:rFonts w:ascii="Verdana" w:hAnsi="Verdana" w:cs="Verdana"/>
              <w:b/>
              <w:bCs/>
              <w:color w:val="FFFFFF"/>
              <w:sz w:val="22"/>
              <w:szCs w:val="22"/>
            </w:rPr>
          </w:pPr>
          <w:r>
            <w:rPr>
              <w:rFonts w:ascii="Arial" w:hAnsi="Arial" w:cs="Arial"/>
              <w:b/>
              <w:bCs/>
              <w:color w:val="FFFFFF"/>
              <w:sz w:val="22"/>
              <w:szCs w:val="22"/>
            </w:rPr>
            <w:t>Aufgaben- und Ideensammlung zum Thema „Tafellieder“</w:t>
          </w:r>
        </w:p>
      </w:tc>
    </w:tr>
  </w:tbl>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7"/>
    <o:shapelayout v:ext="edit">
      <o:idmap v:ext="edit" data="1"/>
    </o:shapelayout>
  </w:shapeDefaults>
  <w:decimalSymbol w:val=","/>
  <w:listSeparator w:val=";"/>
  <w15:docId w15:val="{421B3B5C-A882-4A75-AC48-EE700FE14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character" w:customStyle="1" w:styleId="KopfzeileZchn">
    <w:name w:val="Kopfzeile Zchn"/>
    <w:link w:val="Kopfzeile"/>
    <w:locked/>
    <w:rPr>
      <w:lang w:val="de-DE" w:eastAsia="de-DE" w:bidi="ar-SA"/>
    </w:rPr>
  </w:style>
  <w:style w:type="table" w:styleId="Tabellenraster">
    <w:name w:val="Table Grid"/>
    <w:basedOn w:val="NormaleTabel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uiPriority w:val="99"/>
    <w:pPr>
      <w:tabs>
        <w:tab w:val="center" w:pos="4536"/>
        <w:tab w:val="right" w:pos="9072"/>
      </w:tabs>
    </w:pPr>
  </w:style>
  <w:style w:type="character" w:customStyle="1" w:styleId="FuzeileZchn">
    <w:name w:val="Fußzeile Zchn"/>
    <w:link w:val="Fuzeile"/>
    <w:uiPriority w:val="99"/>
    <w:locked/>
    <w:rPr>
      <w:lang w:val="de-DE" w:eastAsia="de-DE" w:bidi="ar-SA"/>
    </w:rPr>
  </w:style>
  <w:style w:type="character" w:styleId="Seitenzahl">
    <w:name w:val="page number"/>
    <w:rPr>
      <w:rFonts w:cs="Times New Roman"/>
    </w:rPr>
  </w:style>
  <w:style w:type="paragraph" w:customStyle="1" w:styleId="FormatvorlageListenabsatzArial11ptBlock">
    <w:name w:val="Formatvorlage Listenabsatz + Arial 11 pt Block"/>
    <w:basedOn w:val="Standard"/>
    <w:autoRedefine/>
    <w:pPr>
      <w:numPr>
        <w:numId w:val="2"/>
      </w:numPr>
    </w:pPr>
    <w:rPr>
      <w:rFonts w:ascii="Arial" w:hAnsi="Arial"/>
      <w:sz w:val="22"/>
    </w:rPr>
  </w:style>
  <w:style w:type="character" w:styleId="Hyperlink">
    <w:name w:val="Hyperlink"/>
    <w:rPr>
      <w:color w:val="0000FF"/>
      <w:u w:val="single"/>
    </w:rPr>
  </w:style>
  <w:style w:type="paragraph" w:styleId="Sprechblasentext">
    <w:name w:val="Balloon Text"/>
    <w:basedOn w:val="Standard"/>
    <w:link w:val="SprechblasentextZchn"/>
    <w:rPr>
      <w:rFonts w:ascii="Tahoma" w:hAnsi="Tahoma" w:cs="Tahoma"/>
      <w:sz w:val="16"/>
      <w:szCs w:val="16"/>
    </w:rPr>
  </w:style>
  <w:style w:type="character" w:customStyle="1" w:styleId="SprechblasentextZchn">
    <w:name w:val="Sprechblasentext Zchn"/>
    <w:basedOn w:val="Absatz-Standardschriftart"/>
    <w:link w:val="Sprechblasentext"/>
    <w:rPr>
      <w:rFonts w:ascii="Tahoma" w:hAnsi="Tahoma" w:cs="Tahoma"/>
      <w:sz w:val="16"/>
      <w:szCs w:val="16"/>
    </w:rPr>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igital.slub-dresden.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chulportal-thueringen.de/media/detail?tspi=18946" TargetMode="External"/><Relationship Id="rId12" Type="http://schemas.openxmlformats.org/officeDocument/2006/relationships/hyperlink" Target="https://de.wikisource.org/wiki/Hauptseit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eutsche-digitale-bibliothek.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kuwi-thueringen.de" TargetMode="External"/><Relationship Id="rId4" Type="http://schemas.openxmlformats.org/officeDocument/2006/relationships/webSettings" Target="webSettings.xml"/><Relationship Id="rId9" Type="http://schemas.openxmlformats.org/officeDocument/2006/relationships/hyperlink" Target="https://commons.wikimedia.org/wiki/Hauptseite"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creativecommons.org/licenses/by/4.0/"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916</Words>
  <Characters>5774</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Transparent</vt:lpstr>
      <vt:lpstr>Transparent</vt:lpstr>
    </vt:vector>
  </TitlesOfParts>
  <Company>Thillm</Company>
  <LinksUpToDate>false</LinksUpToDate>
  <CharactersWithSpaces>6677</CharactersWithSpaces>
  <SharedDoc>false</SharedDoc>
  <HLinks>
    <vt:vector size="18" baseType="variant">
      <vt:variant>
        <vt:i4>6488182</vt:i4>
      </vt:variant>
      <vt:variant>
        <vt:i4>6</vt:i4>
      </vt:variant>
      <vt:variant>
        <vt:i4>0</vt:i4>
      </vt:variant>
      <vt:variant>
        <vt:i4>5</vt:i4>
      </vt:variant>
      <vt:variant>
        <vt:lpwstr>http://digital.slub-dresden.de/id479080704-18980000</vt:lpwstr>
      </vt:variant>
      <vt:variant>
        <vt:lpwstr/>
      </vt:variant>
      <vt:variant>
        <vt:i4>3604606</vt:i4>
      </vt:variant>
      <vt:variant>
        <vt:i4>3</vt:i4>
      </vt:variant>
      <vt:variant>
        <vt:i4>0</vt:i4>
      </vt:variant>
      <vt:variant>
        <vt:i4>5</vt:i4>
      </vt:variant>
      <vt:variant>
        <vt:lpwstr>https://creativecommons.org/licenses/by-sa/4.0/</vt:lpwstr>
      </vt:variant>
      <vt:variant>
        <vt:lpwstr/>
      </vt:variant>
      <vt:variant>
        <vt:i4>5898322</vt:i4>
      </vt:variant>
      <vt:variant>
        <vt:i4>0</vt:i4>
      </vt:variant>
      <vt:variant>
        <vt:i4>0</vt:i4>
      </vt:variant>
      <vt:variant>
        <vt:i4>5</vt:i4>
      </vt:variant>
      <vt:variant>
        <vt:lpwstr>https://creativecommons.org/licenses/by-sa/4.0/legalcode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Kröckel, André</cp:lastModifiedBy>
  <cp:revision>22</cp:revision>
  <cp:lastPrinted>2017-05-18T07:25:00Z</cp:lastPrinted>
  <dcterms:created xsi:type="dcterms:W3CDTF">2026-01-12T10:24:00Z</dcterms:created>
  <dcterms:modified xsi:type="dcterms:W3CDTF">2026-01-14T13:14:00Z</dcterms:modified>
</cp:coreProperties>
</file>